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61BBC">
      <w:pPr>
        <w:widowControl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附件</w:t>
      </w:r>
      <w:r>
        <w:rPr>
          <w:rFonts w:ascii="仿宋_GB2312" w:hAnsi="仿宋" w:eastAsia="仿宋_GB2312" w:cs="宋体"/>
          <w:sz w:val="32"/>
          <w:szCs w:val="32"/>
        </w:rPr>
        <w:t xml:space="preserve">3  </w:t>
      </w:r>
    </w:p>
    <w:p w14:paraId="4B3AD423">
      <w:pPr>
        <w:widowControl/>
        <w:spacing w:line="360" w:lineRule="auto"/>
        <w:jc w:val="center"/>
        <w:rPr>
          <w:rFonts w:hint="eastAsia" w:ascii="方正小标宋简体" w:hAnsi="黑体" w:eastAsia="方正小标宋简体" w:cs="黑体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仿宋" w:eastAsia="方正小标宋简体" w:cs="仿宋"/>
          <w:sz w:val="36"/>
          <w:szCs w:val="36"/>
          <w:highlight w:val="none"/>
          <w:lang w:val="en-US" w:eastAsia="zh-CN"/>
        </w:rPr>
        <w:t>四川省教育数字化科研课题</w:t>
      </w:r>
      <w:r>
        <w:rPr>
          <w:rFonts w:hint="eastAsia" w:ascii="方正小标宋简体" w:hAnsi="黑体" w:eastAsia="方正小标宋简体" w:cs="黑体"/>
          <w:sz w:val="36"/>
          <w:szCs w:val="36"/>
          <w:highlight w:val="none"/>
        </w:rPr>
        <w:t>立项评审标</w:t>
      </w:r>
      <w:r>
        <w:rPr>
          <w:rFonts w:hint="eastAsia" w:ascii="方正小标宋简体" w:hAnsi="黑体" w:eastAsia="方正小标宋简体" w:cs="黑体"/>
          <w:sz w:val="36"/>
          <w:szCs w:val="36"/>
          <w:highlight w:val="none"/>
          <w:lang w:eastAsia="zh-CN"/>
        </w:rPr>
        <w:t>准</w:t>
      </w:r>
    </w:p>
    <w:tbl>
      <w:tblPr>
        <w:tblStyle w:val="3"/>
        <w:tblpPr w:leftFromText="180" w:rightFromText="180" w:vertAnchor="text" w:horzAnchor="page" w:tblpX="1265" w:tblpY="702"/>
        <w:tblOverlap w:val="never"/>
        <w:tblW w:w="95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6179"/>
        <w:gridCol w:w="885"/>
        <w:gridCol w:w="905"/>
      </w:tblGrid>
      <w:tr w14:paraId="50388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22423">
            <w:pPr>
              <w:autoSpaceDN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评审项目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43A68F0">
            <w:pPr>
              <w:autoSpaceDN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评审内容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03135">
            <w:pPr>
              <w:autoSpaceDN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分值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1F5A3">
            <w:pPr>
              <w:autoSpaceDN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评分</w:t>
            </w:r>
          </w:p>
        </w:tc>
      </w:tr>
      <w:tr w14:paraId="5B82F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ABBE">
            <w:pPr>
              <w:autoSpaceDN w:val="0"/>
              <w:spacing w:line="560" w:lineRule="exact"/>
              <w:ind w:firstLine="160" w:firstLineChars="50"/>
              <w:jc w:val="center"/>
              <w:textAlignment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选题</w:t>
            </w:r>
          </w:p>
          <w:p w14:paraId="4F564F51">
            <w:pPr>
              <w:autoSpaceDN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价值性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8DFE705">
            <w:pPr>
              <w:spacing w:line="56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有重要理论与实用价值，适应当前教育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数字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化发展新形势；对教育信息技术学科发展或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数字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技术与教育教学深度融合创新等有重要促进作用；预期研究成果具有较高学术和推广价值。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B8F2D5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9D67A9">
            <w:pPr>
              <w:autoSpaceDN w:val="0"/>
              <w:spacing w:line="560" w:lineRule="exact"/>
              <w:jc w:val="left"/>
              <w:textAlignment w:val="bottom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A1A0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D539D">
            <w:pPr>
              <w:autoSpaceDN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方 案</w:t>
            </w:r>
          </w:p>
          <w:p w14:paraId="48FB212A">
            <w:pPr>
              <w:autoSpaceDN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可行性</w:t>
            </w:r>
          </w:p>
          <w:p w14:paraId="61E86437">
            <w:pPr>
              <w:autoSpaceDN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4AA746FC">
            <w:pPr>
              <w:autoSpaceDN w:val="0"/>
              <w:spacing w:line="560" w:lineRule="exact"/>
              <w:textAlignment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研究目标明确、清晰；研究内容具体；研究步骤合理可行；研究方法科学；研究方案具有可操作性。课题设计论证依据充分，逻辑严谨。</w:t>
            </w:r>
          </w:p>
          <w:p w14:paraId="3FE0DBCA">
            <w:pPr>
              <w:autoSpaceDN w:val="0"/>
              <w:spacing w:line="560" w:lineRule="exact"/>
              <w:ind w:firstLine="560" w:firstLineChars="200"/>
              <w:textAlignment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课题负责人具有组织管理课题的能力和水平；主研人员结构合理，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学术水平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较高，能按时完成研究任务。</w:t>
            </w:r>
          </w:p>
          <w:p w14:paraId="0A6A4EC6">
            <w:pPr>
              <w:spacing w:line="56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申报单位对主研人员能给予时间、物质和经费等支持，确保完成课题研究工作。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74E842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40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6D161E">
            <w:pPr>
              <w:autoSpaceDN w:val="0"/>
              <w:spacing w:line="560" w:lineRule="exact"/>
              <w:jc w:val="left"/>
              <w:textAlignment w:val="bottom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F61A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931667">
            <w:pPr>
              <w:autoSpaceDN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  <w:p w14:paraId="675C146A">
            <w:pPr>
              <w:autoSpaceDN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成果</w:t>
            </w:r>
          </w:p>
          <w:p w14:paraId="6C447EE4">
            <w:pPr>
              <w:autoSpaceDN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创新性</w:t>
            </w:r>
          </w:p>
          <w:p w14:paraId="5C7B21BF">
            <w:pPr>
              <w:autoSpaceDN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29084AEC">
            <w:pPr>
              <w:autoSpaceDN w:val="0"/>
              <w:spacing w:line="560" w:lineRule="exact"/>
              <w:textAlignment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预期研究成果对变革和创新教与学方式，培养学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生在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教育数字化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环境下自主学习能力，提高教师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数字素养能力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，提升课题单位管理信息化水平，促进教育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数字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化发展具有积极推进作用。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50DFDD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 w14:paraId="7CFDE74A">
            <w:pPr>
              <w:autoSpaceDN w:val="0"/>
              <w:spacing w:line="560" w:lineRule="exact"/>
              <w:jc w:val="left"/>
              <w:textAlignment w:val="bottom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C68B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A98FF1">
            <w:pPr>
              <w:autoSpaceDN w:val="0"/>
              <w:spacing w:line="560" w:lineRule="exact"/>
              <w:textAlignment w:val="bottom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总 分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60526E">
            <w:pPr>
              <w:autoSpaceDN w:val="0"/>
              <w:spacing w:line="560" w:lineRule="exact"/>
              <w:jc w:val="center"/>
              <w:textAlignment w:val="bottom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A9B75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100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EC1208">
            <w:pPr>
              <w:autoSpaceDN w:val="0"/>
              <w:spacing w:line="560" w:lineRule="exact"/>
              <w:jc w:val="center"/>
              <w:textAlignment w:val="bottom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</w:tbl>
    <w:p w14:paraId="28A696EE">
      <w:pPr>
        <w:pStyle w:val="2"/>
        <w:spacing w:before="0" w:beforeLines="0" w:after="0" w:afterLines="0"/>
        <w:rPr>
          <w:rFonts w:hint="eastAsia"/>
          <w:lang w:val="en-US" w:eastAsia="zh-CN"/>
        </w:rPr>
      </w:pPr>
      <w:bookmarkStart w:id="0" w:name="_GoBack"/>
      <w:bookmarkEnd w:id="0"/>
    </w:p>
    <w:p w14:paraId="393747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Nzg3YmZkODdhNGI5OGJkMDBmZjYwMzZiNzk1MTgifQ=="/>
  </w:docVars>
  <w:rsids>
    <w:rsidRoot w:val="00406C61"/>
    <w:rsid w:val="00406C61"/>
    <w:rsid w:val="0A59186D"/>
    <w:rsid w:val="0C7B7E29"/>
    <w:rsid w:val="0FFB1354"/>
    <w:rsid w:val="13DB76F1"/>
    <w:rsid w:val="196441AC"/>
    <w:rsid w:val="39FF1CCE"/>
    <w:rsid w:val="3A0868F8"/>
    <w:rsid w:val="3AB06E26"/>
    <w:rsid w:val="3BFE76D9"/>
    <w:rsid w:val="4515472C"/>
    <w:rsid w:val="476869D0"/>
    <w:rsid w:val="4CB32B5E"/>
    <w:rsid w:val="50DB1B73"/>
    <w:rsid w:val="559477AC"/>
    <w:rsid w:val="6313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2331808d-1a53-435d-b67f-c1864262632e</errorID>
      <errorWord>生</errorWord>
      <group>L1_Word</group>
      <groupName>字词问题</groupName>
      <ability>L2_Typo</ability>
      <abilityName>字词错误</abilityName>
      <candidateList>
        <item>生在</item>
      </candidateList>
      <explain/>
      <paraID>29084AEC</paraID>
      <start>25</start>
      <end>27</end>
      <status>modified</status>
      <modifiedWord>生在</modifiedWord>
      <trackRevisions>false</trackRevisions>
    </reviewItem>
    <reviewItem>
      <errorID>e063f711-f6db-4769-b380-df4e7a435378</errorID>
      <errorWord>字</errorWord>
      <group>L1_Word</group>
      <groupName>字词问题</groupName>
      <ability>L2_Typo</ability>
      <abilityName>字词错误</abilityName>
      <candidateList>
        <item>字化</item>
      </candidateList>
      <explain/>
      <paraID>29084AEC</paraID>
      <start>47</start>
      <end>48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deb9534-a5c9-418c-8f6d-abc60243b6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361</Characters>
  <Lines>0</Lines>
  <Paragraphs>0</Paragraphs>
  <TotalTime>0</TotalTime>
  <ScaleCrop>false</ScaleCrop>
  <LinksUpToDate>false</LinksUpToDate>
  <CharactersWithSpaces>375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2025-07-24T08:03:00Z</dcterms:created>
  <dc:creator>周熠</dc:creator>
  <cp:lastModifiedBy>李垚秋</cp:lastModifiedBy>
  <dcterms:modified xsi:type="dcterms:W3CDTF">2026-07-16T02:08:49Z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DBC1CAFA95E44D039B9849D817DDE799_11</vt:lpwstr>
  </property>
  <property fmtid="{D5CDD505-2E9C-101B-9397-08002B2CF9AE}" pid="4" name="KSOTemplateDocerSaveRecord">
    <vt:lpwstr>eyJoZGlkIjoiZGY0Njk5ZTEwM2Q1NDJiZWU5YWQ0Y2M3MGU1NDBkOTYiLCJ1c2VySWQiOiIxNjQ2MjQ4NjIyIn0=</vt:lpwstr>
  </property>
</Properties>
</file>